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2018</w:t>
      </w:r>
    </w:p>
    <w:p>
      <w:pPr/>
      <w:hyperlink r:id="rId7" w:history="1">
        <w:r>
          <w:rPr>
            <w:color w:val="005999"/>
          </w:rPr>
          <w:t xml:space="preserve">Перечень рекомендуемых мероприятий поулучшению условий труда</w:t>
        </w:r>
      </w:hyperlink>
    </w:p>
    <w:p>
      <w:pPr/>
      <w:hyperlink r:id="rId8" w:history="1">
        <w:r>
          <w:rPr>
            <w:color w:val="005999"/>
          </w:rPr>
          <w:t xml:space="preserve">Сводная ведомость результатов проведенияспециальной оценки условий труда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deyatelnost/specialnaya-ocenka-ohrany-truda/2018/perechen-rekomenduemyh-meropriyatiy-po-uluchsheniyu-usloviy-truda" TargetMode="External"/><Relationship Id="rId8" Type="http://schemas.openxmlformats.org/officeDocument/2006/relationships/hyperlink" Target="https://psi.mchs.gov.ru/deyatelnost/specialnaya-ocenka-ohrany-truda/2018/svodnaya-vedomost-rezultatov-provedeniya-specialnoy-ocenki-usloviy-trud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2025-04-05T18:38:25+03:00</dcterms:created>
  <dcterms:modified xsi:type="dcterms:W3CDTF">2025-04-05T18:38:25+03:00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